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0A4C" w14:textId="77777777" w:rsidR="00AB24F8" w:rsidRPr="00472803" w:rsidRDefault="00AB24F8" w:rsidP="00F23FA8">
      <w:pPr>
        <w:spacing w:line="276" w:lineRule="auto"/>
        <w:rPr>
          <w:b/>
          <w:bCs/>
        </w:rPr>
      </w:pPr>
    </w:p>
    <w:p w14:paraId="22706FF1" w14:textId="425660E1" w:rsidR="00AB24F8" w:rsidRDefault="00AB24F8" w:rsidP="00F23FA8">
      <w:pPr>
        <w:spacing w:before="100" w:beforeAutospacing="1" w:after="100" w:afterAutospacing="1" w:line="276" w:lineRule="auto"/>
        <w:rPr>
          <w:rFonts w:eastAsia="Times New Roman" w:cs="Times New Roman"/>
          <w:kern w:val="0"/>
          <w14:ligatures w14:val="none"/>
        </w:rPr>
      </w:pPr>
      <w:r w:rsidRPr="00472803">
        <w:rPr>
          <w:rFonts w:eastAsia="Times New Roman" w:cs="Times New Roman"/>
          <w:kern w:val="0"/>
          <w14:ligatures w14:val="none"/>
        </w:rPr>
        <w:t xml:space="preserve">Here’s the detailed alignment of </w:t>
      </w:r>
      <w:r w:rsidRPr="00472803">
        <w:rPr>
          <w:rFonts w:eastAsia="Times New Roman" w:cs="Times New Roman"/>
          <w:b/>
          <w:bCs/>
          <w:kern w:val="0"/>
          <w14:ligatures w14:val="none"/>
        </w:rPr>
        <w:t>evidence and document sections</w:t>
      </w:r>
      <w:r w:rsidRPr="00472803">
        <w:rPr>
          <w:rFonts w:eastAsia="Times New Roman" w:cs="Times New Roman"/>
          <w:kern w:val="0"/>
          <w14:ligatures w14:val="none"/>
        </w:rPr>
        <w:t xml:space="preserve"> supporting the claim for </w:t>
      </w:r>
      <w:r w:rsidR="00472803" w:rsidRPr="00472803">
        <w:rPr>
          <w:rFonts w:eastAsia="Times New Roman" w:cs="Times New Roman"/>
          <w:b/>
          <w:bCs/>
          <w:kern w:val="0"/>
          <w:u w:val="single"/>
          <w14:ligatures w14:val="none"/>
        </w:rPr>
        <w:t>“</w:t>
      </w:r>
      <w:r w:rsidRPr="00472803">
        <w:rPr>
          <w:rFonts w:eastAsia="Times New Roman" w:cs="Times New Roman"/>
          <w:b/>
          <w:bCs/>
          <w:kern w:val="0"/>
          <w:u w:val="single"/>
          <w14:ligatures w14:val="none"/>
        </w:rPr>
        <w:t>Pop-Up Policy Communication,</w:t>
      </w:r>
      <w:r w:rsidR="00472803" w:rsidRPr="00472803">
        <w:rPr>
          <w:rFonts w:eastAsia="Times New Roman" w:cs="Times New Roman"/>
          <w:b/>
          <w:bCs/>
          <w:kern w:val="0"/>
          <w:u w:val="single"/>
          <w14:ligatures w14:val="none"/>
        </w:rPr>
        <w:t>”</w:t>
      </w:r>
      <w:r w:rsidRPr="00472803">
        <w:rPr>
          <w:rFonts w:eastAsia="Times New Roman" w:cs="Times New Roman"/>
          <w:kern w:val="0"/>
          <w14:ligatures w14:val="none"/>
        </w:rPr>
        <w:t xml:space="preserve"> using </w:t>
      </w:r>
      <w:r w:rsidRPr="00472803">
        <w:rPr>
          <w:rFonts w:eastAsia="Times New Roman" w:cs="Times New Roman"/>
          <w:b/>
          <w:bCs/>
          <w:kern w:val="0"/>
          <w14:ligatures w14:val="none"/>
        </w:rPr>
        <w:t>Exhibits A to N</w:t>
      </w:r>
      <w:r w:rsidRPr="00472803">
        <w:rPr>
          <w:rFonts w:eastAsia="Times New Roman" w:cs="Times New Roman"/>
          <w:kern w:val="0"/>
          <w14:ligatures w14:val="none"/>
        </w:rPr>
        <w:t xml:space="preserve"> and </w:t>
      </w:r>
      <w:r w:rsidRPr="00472803">
        <w:rPr>
          <w:rFonts w:eastAsia="Times New Roman" w:cs="Times New Roman"/>
          <w:b/>
          <w:bCs/>
          <w:kern w:val="0"/>
          <w14:ligatures w14:val="none"/>
        </w:rPr>
        <w:t>Exhibits 1 to 34</w:t>
      </w:r>
      <w:r w:rsidRPr="00472803">
        <w:rPr>
          <w:rFonts w:eastAsia="Times New Roman" w:cs="Times New Roman"/>
          <w:kern w:val="0"/>
          <w14:ligatures w14:val="none"/>
        </w:rPr>
        <w:t>:</w:t>
      </w:r>
    </w:p>
    <w:p w14:paraId="3DB4BA21" w14:textId="77777777" w:rsidR="00967D96" w:rsidRPr="00967D96" w:rsidRDefault="00967D96" w:rsidP="00F23FA8">
      <w:pPr>
        <w:spacing w:line="276" w:lineRule="auto"/>
        <w:rPr>
          <w:b/>
          <w:bCs/>
          <w:u w:val="single"/>
        </w:rPr>
      </w:pPr>
      <w:r w:rsidRPr="00967D96">
        <w:rPr>
          <w:b/>
          <w:bCs/>
          <w:u w:val="single"/>
        </w:rPr>
        <w:t>Alignment of Exhibits with "Pop-Up Policy Communication"</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1397"/>
        <w:gridCol w:w="2098"/>
        <w:gridCol w:w="5819"/>
      </w:tblGrid>
      <w:tr w:rsidR="0018444A" w:rsidRPr="00967D96" w14:paraId="756BB73A" w14:textId="77777777" w:rsidTr="0018444A">
        <w:trPr>
          <w:tblHeader/>
          <w:tblCellSpacing w:w="15" w:type="dxa"/>
        </w:trPr>
        <w:tc>
          <w:tcPr>
            <w:tcW w:w="0" w:type="auto"/>
            <w:vAlign w:val="center"/>
            <w:hideMark/>
          </w:tcPr>
          <w:p w14:paraId="59556039"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Exhibit Reference</w:t>
            </w:r>
          </w:p>
        </w:tc>
        <w:tc>
          <w:tcPr>
            <w:tcW w:w="0" w:type="auto"/>
            <w:vAlign w:val="center"/>
            <w:hideMark/>
          </w:tcPr>
          <w:p w14:paraId="3B595B8D"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Description</w:t>
            </w:r>
          </w:p>
        </w:tc>
        <w:tc>
          <w:tcPr>
            <w:tcW w:w="0" w:type="auto"/>
            <w:vAlign w:val="center"/>
            <w:hideMark/>
          </w:tcPr>
          <w:p w14:paraId="6E19F8D3"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Relevance to Claim</w:t>
            </w:r>
          </w:p>
        </w:tc>
      </w:tr>
      <w:tr w:rsidR="0018444A" w:rsidRPr="00967D96" w14:paraId="3421533A" w14:textId="77777777" w:rsidTr="0018444A">
        <w:trPr>
          <w:tblCellSpacing w:w="15" w:type="dxa"/>
        </w:trPr>
        <w:tc>
          <w:tcPr>
            <w:tcW w:w="0" w:type="auto"/>
            <w:vAlign w:val="center"/>
            <w:hideMark/>
          </w:tcPr>
          <w:p w14:paraId="40612096"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Exhibit O</w:t>
            </w:r>
          </w:p>
        </w:tc>
        <w:tc>
          <w:tcPr>
            <w:tcW w:w="0" w:type="auto"/>
            <w:vAlign w:val="center"/>
            <w:hideMark/>
          </w:tcPr>
          <w:p w14:paraId="692BDF59"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Trip.com</w:t>
            </w:r>
            <w:r w:rsidRPr="00967D96">
              <w:rPr>
                <w:rFonts w:eastAsia="Times New Roman" w:cs="Times New Roman"/>
                <w:kern w:val="0"/>
                <w14:ligatures w14:val="none"/>
              </w:rPr>
              <w:t xml:space="preserve"> Website Analysis and Findings</w:t>
            </w:r>
          </w:p>
        </w:tc>
        <w:tc>
          <w:tcPr>
            <w:tcW w:w="0" w:type="auto"/>
            <w:vAlign w:val="center"/>
            <w:hideMark/>
          </w:tcPr>
          <w:p w14:paraId="532456C3" w14:textId="496938C0"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Documents</w:t>
            </w:r>
            <w:r>
              <w:rPr>
                <w:rFonts w:eastAsia="Times New Roman" w:cs="Times New Roman"/>
                <w:kern w:val="0"/>
                <w14:ligatures w14:val="none"/>
              </w:rPr>
              <w:t xml:space="preserve">, </w:t>
            </w:r>
            <w:r w:rsidRPr="00967D96">
              <w:rPr>
                <w:rFonts w:eastAsia="Times New Roman" w:cs="Times New Roman"/>
                <w:kern w:val="0"/>
                <w14:ligatures w14:val="none"/>
              </w:rPr>
              <w:t>the platform’s reliance on pop-up notifications to convey critical policies, such as baggage allowances and additional charges, which were easily missed and caused confusion.</w:t>
            </w:r>
          </w:p>
        </w:tc>
      </w:tr>
      <w:tr w:rsidR="0018444A" w:rsidRPr="00967D96" w14:paraId="351CA92C" w14:textId="77777777" w:rsidTr="0018444A">
        <w:trPr>
          <w:tblCellSpacing w:w="15" w:type="dxa"/>
        </w:trPr>
        <w:tc>
          <w:tcPr>
            <w:tcW w:w="0" w:type="auto"/>
            <w:vAlign w:val="center"/>
            <w:hideMark/>
          </w:tcPr>
          <w:p w14:paraId="7D82B07B"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Exhibit F</w:t>
            </w:r>
          </w:p>
        </w:tc>
        <w:tc>
          <w:tcPr>
            <w:tcW w:w="0" w:type="auto"/>
            <w:vAlign w:val="center"/>
            <w:hideMark/>
          </w:tcPr>
          <w:p w14:paraId="19B96BC7"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Trip.com</w:t>
            </w:r>
            <w:r w:rsidRPr="00967D96">
              <w:rPr>
                <w:rFonts w:eastAsia="Times New Roman" w:cs="Times New Roman"/>
                <w:kern w:val="0"/>
                <w14:ligatures w14:val="none"/>
              </w:rPr>
              <w:t xml:space="preserve"> Invoice of Purchases</w:t>
            </w:r>
          </w:p>
        </w:tc>
        <w:tc>
          <w:tcPr>
            <w:tcW w:w="0" w:type="auto"/>
            <w:vAlign w:val="center"/>
            <w:hideMark/>
          </w:tcPr>
          <w:p w14:paraId="796865F7" w14:textId="33D94F99"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Demonstrates</w:t>
            </w:r>
            <w:r>
              <w:rPr>
                <w:rFonts w:eastAsia="Times New Roman" w:cs="Times New Roman"/>
                <w:kern w:val="0"/>
                <w14:ligatures w14:val="none"/>
              </w:rPr>
              <w:t>’</w:t>
            </w:r>
            <w:r w:rsidRPr="00967D96">
              <w:rPr>
                <w:rFonts w:eastAsia="Times New Roman" w:cs="Times New Roman"/>
                <w:kern w:val="0"/>
                <w14:ligatures w14:val="none"/>
              </w:rPr>
              <w:t xml:space="preserve"> the lack of clear communication regarding booking terms, as key details were only partially disclosed through transient pop-up notifications.</w:t>
            </w:r>
          </w:p>
        </w:tc>
      </w:tr>
      <w:tr w:rsidR="0018444A" w:rsidRPr="00967D96" w14:paraId="7CE4BA4A" w14:textId="77777777" w:rsidTr="0018444A">
        <w:trPr>
          <w:tblCellSpacing w:w="15" w:type="dxa"/>
        </w:trPr>
        <w:tc>
          <w:tcPr>
            <w:tcW w:w="0" w:type="auto"/>
            <w:vAlign w:val="center"/>
            <w:hideMark/>
          </w:tcPr>
          <w:p w14:paraId="2792BAF4"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Exhibit 1</w:t>
            </w:r>
          </w:p>
        </w:tc>
        <w:tc>
          <w:tcPr>
            <w:tcW w:w="0" w:type="auto"/>
            <w:vAlign w:val="center"/>
            <w:hideMark/>
          </w:tcPr>
          <w:p w14:paraId="431ADE6F"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Screenshots of Pop-Up Notifications</w:t>
            </w:r>
          </w:p>
        </w:tc>
        <w:tc>
          <w:tcPr>
            <w:tcW w:w="0" w:type="auto"/>
            <w:vAlign w:val="center"/>
            <w:hideMark/>
          </w:tcPr>
          <w:p w14:paraId="78D42036"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Provides visual evidence of pop-ups used to communicate significant information, such as baggage policies and fees, in a manner that lacked prominence and clarity.</w:t>
            </w:r>
          </w:p>
        </w:tc>
      </w:tr>
    </w:tbl>
    <w:p w14:paraId="01245FB1" w14:textId="77777777" w:rsidR="00967D96" w:rsidRDefault="00967D96" w:rsidP="00F23FA8">
      <w:pPr>
        <w:spacing w:line="276" w:lineRule="auto"/>
        <w:rPr>
          <w:b/>
          <w:bCs/>
          <w:u w:val="single"/>
        </w:rPr>
      </w:pPr>
    </w:p>
    <w:p w14:paraId="6DCBA0B1" w14:textId="0F9C7AEC" w:rsidR="00967D96" w:rsidRPr="00967D96" w:rsidRDefault="00967D96" w:rsidP="00F23FA8">
      <w:pPr>
        <w:spacing w:line="276" w:lineRule="auto"/>
        <w:rPr>
          <w:b/>
          <w:bCs/>
          <w:u w:val="single"/>
        </w:rPr>
      </w:pPr>
      <w:r w:rsidRPr="00967D96">
        <w:rPr>
          <w:b/>
          <w:bCs/>
          <w:u w:val="single"/>
        </w:rPr>
        <w:t>Relevant Sections of the Document Supporting the Claim</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1719"/>
        <w:gridCol w:w="7595"/>
      </w:tblGrid>
      <w:tr w:rsidR="00967D96" w:rsidRPr="00967D96" w14:paraId="7948EC14" w14:textId="77777777" w:rsidTr="0018444A">
        <w:trPr>
          <w:tblHeader/>
          <w:tblCellSpacing w:w="15" w:type="dxa"/>
        </w:trPr>
        <w:tc>
          <w:tcPr>
            <w:tcW w:w="0" w:type="auto"/>
            <w:vAlign w:val="center"/>
            <w:hideMark/>
          </w:tcPr>
          <w:p w14:paraId="37E09139"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Section Title</w:t>
            </w:r>
          </w:p>
        </w:tc>
        <w:tc>
          <w:tcPr>
            <w:tcW w:w="0" w:type="auto"/>
            <w:vAlign w:val="center"/>
            <w:hideMark/>
          </w:tcPr>
          <w:p w14:paraId="3D301957"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Details Supporting "Pop-Up Policy Communication"</w:t>
            </w:r>
          </w:p>
        </w:tc>
      </w:tr>
      <w:tr w:rsidR="00967D96" w:rsidRPr="00967D96" w14:paraId="347C5451" w14:textId="77777777" w:rsidTr="0018444A">
        <w:trPr>
          <w:tblCellSpacing w:w="15" w:type="dxa"/>
        </w:trPr>
        <w:tc>
          <w:tcPr>
            <w:tcW w:w="0" w:type="auto"/>
            <w:vAlign w:val="center"/>
            <w:hideMark/>
          </w:tcPr>
          <w:p w14:paraId="7D95B46C"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Website Evaluation</w:t>
            </w:r>
          </w:p>
        </w:tc>
        <w:tc>
          <w:tcPr>
            <w:tcW w:w="0" w:type="auto"/>
            <w:vAlign w:val="center"/>
            <w:hideMark/>
          </w:tcPr>
          <w:p w14:paraId="7337887F"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Examines how critical policy information was conveyed through small, transient pop-ups rather than being prominently displayed, leading to user misunderstandings.</w:t>
            </w:r>
          </w:p>
        </w:tc>
      </w:tr>
      <w:tr w:rsidR="00967D96" w:rsidRPr="00967D96" w14:paraId="5CDDA35B" w14:textId="77777777" w:rsidTr="0018444A">
        <w:trPr>
          <w:tblCellSpacing w:w="15" w:type="dxa"/>
        </w:trPr>
        <w:tc>
          <w:tcPr>
            <w:tcW w:w="0" w:type="auto"/>
            <w:vAlign w:val="center"/>
            <w:hideMark/>
          </w:tcPr>
          <w:p w14:paraId="20BB7BB9"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Analysis and Findings</w:t>
            </w:r>
          </w:p>
        </w:tc>
        <w:tc>
          <w:tcPr>
            <w:tcW w:w="0" w:type="auto"/>
            <w:vAlign w:val="center"/>
            <w:hideMark/>
          </w:tcPr>
          <w:p w14:paraId="538628F2"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Identifies the systemic over-reliance on pop-ups to communicate essential booking terms, such as baggage fees and flight policies, which contributed to avoidable confusion.</w:t>
            </w:r>
          </w:p>
        </w:tc>
      </w:tr>
      <w:tr w:rsidR="00967D96" w:rsidRPr="00967D96" w14:paraId="108939E2" w14:textId="77777777" w:rsidTr="0018444A">
        <w:trPr>
          <w:tblCellSpacing w:w="15" w:type="dxa"/>
        </w:trPr>
        <w:tc>
          <w:tcPr>
            <w:tcW w:w="0" w:type="auto"/>
            <w:vAlign w:val="center"/>
            <w:hideMark/>
          </w:tcPr>
          <w:p w14:paraId="3DD0B2ED"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Booking Process</w:t>
            </w:r>
          </w:p>
        </w:tc>
        <w:tc>
          <w:tcPr>
            <w:tcW w:w="0" w:type="auto"/>
            <w:vAlign w:val="center"/>
            <w:hideMark/>
          </w:tcPr>
          <w:p w14:paraId="0A6CF1E9"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Describes how customers could easily overlook important terms communicated through pop-ups, as these were not accompanied by clear or permanent textual descriptions.</w:t>
            </w:r>
          </w:p>
        </w:tc>
      </w:tr>
    </w:tbl>
    <w:p w14:paraId="546110ED" w14:textId="77777777" w:rsidR="00967D96" w:rsidRPr="00967D96" w:rsidRDefault="00967D96" w:rsidP="00F23FA8">
      <w:pPr>
        <w:spacing w:line="276" w:lineRule="auto"/>
      </w:pPr>
    </w:p>
    <w:p w14:paraId="7B7E5C74" w14:textId="40A6A6FD" w:rsidR="00967D96" w:rsidRPr="00967D96" w:rsidRDefault="00967D96" w:rsidP="00F23FA8">
      <w:pPr>
        <w:spacing w:line="276" w:lineRule="auto"/>
        <w:rPr>
          <w:b/>
          <w:bCs/>
          <w:u w:val="single"/>
        </w:rPr>
      </w:pPr>
      <w:r w:rsidRPr="00967D96">
        <w:rPr>
          <w:b/>
          <w:bCs/>
          <w:u w:val="single"/>
        </w:rPr>
        <w:t>Key Evidence from "Exhibits 1 to 34"</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1047"/>
        <w:gridCol w:w="8267"/>
      </w:tblGrid>
      <w:tr w:rsidR="00967D96" w:rsidRPr="00967D96" w14:paraId="45D57771" w14:textId="77777777" w:rsidTr="0018444A">
        <w:trPr>
          <w:tblHeader/>
          <w:tblCellSpacing w:w="15" w:type="dxa"/>
        </w:trPr>
        <w:tc>
          <w:tcPr>
            <w:tcW w:w="0" w:type="auto"/>
            <w:vAlign w:val="center"/>
            <w:hideMark/>
          </w:tcPr>
          <w:p w14:paraId="39ADC7AD"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Exhibit #</w:t>
            </w:r>
          </w:p>
        </w:tc>
        <w:tc>
          <w:tcPr>
            <w:tcW w:w="0" w:type="auto"/>
            <w:vAlign w:val="center"/>
            <w:hideMark/>
          </w:tcPr>
          <w:p w14:paraId="5AD2034D" w14:textId="77777777" w:rsidR="00967D96" w:rsidRPr="00967D96" w:rsidRDefault="00967D96" w:rsidP="00F23FA8">
            <w:pPr>
              <w:spacing w:after="0" w:line="276" w:lineRule="auto"/>
              <w:jc w:val="center"/>
              <w:rPr>
                <w:rFonts w:eastAsia="Times New Roman" w:cs="Times New Roman"/>
                <w:b/>
                <w:bCs/>
                <w:kern w:val="0"/>
                <w14:ligatures w14:val="none"/>
              </w:rPr>
            </w:pPr>
            <w:r w:rsidRPr="00967D96">
              <w:rPr>
                <w:rFonts w:eastAsia="Times New Roman" w:cs="Times New Roman"/>
                <w:b/>
                <w:bCs/>
                <w:kern w:val="0"/>
                <w14:ligatures w14:val="none"/>
              </w:rPr>
              <w:t>Details</w:t>
            </w:r>
          </w:p>
        </w:tc>
      </w:tr>
      <w:tr w:rsidR="00967D96" w:rsidRPr="00967D96" w14:paraId="60510889" w14:textId="77777777" w:rsidTr="0018444A">
        <w:trPr>
          <w:tblCellSpacing w:w="15" w:type="dxa"/>
        </w:trPr>
        <w:tc>
          <w:tcPr>
            <w:tcW w:w="0" w:type="auto"/>
            <w:vAlign w:val="center"/>
            <w:hideMark/>
          </w:tcPr>
          <w:p w14:paraId="2953F50E"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Exhibit 11</w:t>
            </w:r>
          </w:p>
        </w:tc>
        <w:tc>
          <w:tcPr>
            <w:tcW w:w="0" w:type="auto"/>
            <w:vAlign w:val="center"/>
            <w:hideMark/>
          </w:tcPr>
          <w:p w14:paraId="14ECED1C"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Screenshots showing instances where critical booking details were delivered via pop-up messages that disappeared without requiring user confirmation.</w:t>
            </w:r>
          </w:p>
        </w:tc>
      </w:tr>
      <w:tr w:rsidR="00967D96" w:rsidRPr="00967D96" w14:paraId="5CDF3F9B" w14:textId="77777777" w:rsidTr="0018444A">
        <w:trPr>
          <w:tblCellSpacing w:w="15" w:type="dxa"/>
        </w:trPr>
        <w:tc>
          <w:tcPr>
            <w:tcW w:w="0" w:type="auto"/>
            <w:vAlign w:val="center"/>
            <w:hideMark/>
          </w:tcPr>
          <w:p w14:paraId="1FC166E8"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b/>
                <w:bCs/>
                <w:kern w:val="0"/>
                <w14:ligatures w14:val="none"/>
              </w:rPr>
              <w:t>Exhibit 19</w:t>
            </w:r>
          </w:p>
        </w:tc>
        <w:tc>
          <w:tcPr>
            <w:tcW w:w="0" w:type="auto"/>
            <w:vAlign w:val="center"/>
            <w:hideMark/>
          </w:tcPr>
          <w:p w14:paraId="5995A4C7" w14:textId="77777777" w:rsidR="00967D96" w:rsidRPr="00967D96" w:rsidRDefault="00967D96" w:rsidP="00F23FA8">
            <w:pPr>
              <w:spacing w:after="0" w:line="276" w:lineRule="auto"/>
              <w:rPr>
                <w:rFonts w:eastAsia="Times New Roman" w:cs="Times New Roman"/>
                <w:kern w:val="0"/>
                <w14:ligatures w14:val="none"/>
              </w:rPr>
            </w:pPr>
            <w:r w:rsidRPr="00967D96">
              <w:rPr>
                <w:rFonts w:eastAsia="Times New Roman" w:cs="Times New Roman"/>
                <w:kern w:val="0"/>
                <w14:ligatures w14:val="none"/>
              </w:rPr>
              <w:t>Website analysis documenting how the reliance on pop-ups resulted in users missing key information during the booking process, leading to financial losses and misunderstandings.</w:t>
            </w:r>
          </w:p>
        </w:tc>
      </w:tr>
    </w:tbl>
    <w:p w14:paraId="2B5D03E1" w14:textId="77777777" w:rsidR="00967D96" w:rsidRDefault="00967D96" w:rsidP="00F23FA8">
      <w:pPr>
        <w:spacing w:line="276" w:lineRule="auto"/>
        <w:rPr>
          <w:b/>
          <w:bCs/>
          <w:u w:val="single"/>
        </w:rPr>
      </w:pPr>
    </w:p>
    <w:p w14:paraId="7B980AED" w14:textId="07503710" w:rsidR="00967D96" w:rsidRPr="00967D96" w:rsidRDefault="00967D96" w:rsidP="00F23FA8">
      <w:pPr>
        <w:spacing w:line="276" w:lineRule="auto"/>
        <w:rPr>
          <w:b/>
          <w:bCs/>
          <w:u w:val="single"/>
        </w:rPr>
      </w:pPr>
      <w:r w:rsidRPr="00967D96">
        <w:rPr>
          <w:b/>
          <w:bCs/>
          <w:u w:val="single"/>
        </w:rPr>
        <w:t>Key Findings from the Analysis</w:t>
      </w:r>
    </w:p>
    <w:p w14:paraId="12E81C56" w14:textId="77777777" w:rsidR="00967D96" w:rsidRPr="00967D96" w:rsidRDefault="00967D96" w:rsidP="00F23FA8">
      <w:pPr>
        <w:numPr>
          <w:ilvl w:val="0"/>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Critical Information Delivered via Pop-Ups</w:t>
      </w:r>
      <w:r w:rsidRPr="00967D96">
        <w:rPr>
          <w:rFonts w:eastAsia="Times New Roman" w:cs="Times New Roman"/>
          <w:b/>
          <w:bCs/>
          <w:kern w:val="0"/>
          <w14:ligatures w14:val="none"/>
        </w:rPr>
        <w:t>:</w:t>
      </w:r>
    </w:p>
    <w:p w14:paraId="6D93DAFE"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kern w:val="0"/>
          <w14:ligatures w14:val="none"/>
        </w:rPr>
        <w:t>Essential booking details, such as baggage policies and additional charges, were communicated through small pop-ups that were easy to miss.</w:t>
      </w:r>
    </w:p>
    <w:p w14:paraId="5C45349D"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kern w:val="0"/>
          <w14:ligatures w14:val="none"/>
        </w:rPr>
        <w:t>These pop-ups often appeared briefly and lacked mechanisms to ensure users acknowledged or reviewed the information, leading to misunderstandings about included services and costs.</w:t>
      </w:r>
    </w:p>
    <w:p w14:paraId="66004C11" w14:textId="77777777" w:rsidR="00967D96" w:rsidRPr="00967D96" w:rsidRDefault="00967D96" w:rsidP="00F23FA8">
      <w:pPr>
        <w:numPr>
          <w:ilvl w:val="0"/>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Lack of Prominent Display for Key Terms</w:t>
      </w:r>
      <w:r w:rsidRPr="00967D96">
        <w:rPr>
          <w:rFonts w:eastAsia="Times New Roman" w:cs="Times New Roman"/>
          <w:b/>
          <w:bCs/>
          <w:kern w:val="0"/>
          <w14:ligatures w14:val="none"/>
        </w:rPr>
        <w:t>:</w:t>
      </w:r>
    </w:p>
    <w:p w14:paraId="34730AA2"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kern w:val="0"/>
          <w14:ligatures w14:val="none"/>
        </w:rPr>
        <w:t>The platform failed to prominently display critical terms and conditions. Instead, it relied on pop-ups that lacked permanence or clarity, leaving users unable to revisit this information after it disappeared.</w:t>
      </w:r>
    </w:p>
    <w:p w14:paraId="3C6BB641"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kern w:val="0"/>
          <w14:ligatures w14:val="none"/>
        </w:rPr>
        <w:t>For example, baggage allowance details were presented in fleeting pop-ups, causing users to assume their baggage was covered when it was not.</w:t>
      </w:r>
    </w:p>
    <w:p w14:paraId="0B3BA772" w14:textId="77777777" w:rsidR="00967D96" w:rsidRPr="00967D96" w:rsidRDefault="00967D96" w:rsidP="00F23FA8">
      <w:pPr>
        <w:numPr>
          <w:ilvl w:val="0"/>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Systematic Impact of Pop-Up Reliance</w:t>
      </w:r>
      <w:r w:rsidRPr="00967D96">
        <w:rPr>
          <w:rFonts w:eastAsia="Times New Roman" w:cs="Times New Roman"/>
          <w:b/>
          <w:bCs/>
          <w:kern w:val="0"/>
          <w14:ligatures w14:val="none"/>
        </w:rPr>
        <w:t>:</w:t>
      </w:r>
    </w:p>
    <w:p w14:paraId="0A936D00"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kern w:val="0"/>
          <w14:ligatures w14:val="none"/>
        </w:rPr>
        <w:t>The use of pop-ups as the primary method for conveying significant booking terms caused widespread confusion.</w:t>
      </w:r>
    </w:p>
    <w:p w14:paraId="54C94F66"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kern w:val="0"/>
          <w14:ligatures w14:val="none"/>
        </w:rPr>
        <w:t>Users frequently overlooked important policies, such as baggage fees and flight change terms, resulting in unexpected charges and logistical complications.</w:t>
      </w:r>
    </w:p>
    <w:p w14:paraId="49F7D0F3" w14:textId="77777777" w:rsidR="00967D96" w:rsidRPr="00967D96" w:rsidRDefault="00967D96" w:rsidP="00F23FA8">
      <w:pPr>
        <w:numPr>
          <w:ilvl w:val="0"/>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Examples of Misleading Practices</w:t>
      </w:r>
      <w:r w:rsidRPr="00967D96">
        <w:rPr>
          <w:rFonts w:eastAsia="Times New Roman" w:cs="Times New Roman"/>
          <w:b/>
          <w:bCs/>
          <w:kern w:val="0"/>
          <w14:ligatures w14:val="none"/>
        </w:rPr>
        <w:t>:</w:t>
      </w:r>
    </w:p>
    <w:p w14:paraId="4317CC66"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Transient Pop-Ups</w:t>
      </w:r>
      <w:r w:rsidRPr="00967D96">
        <w:rPr>
          <w:rFonts w:eastAsia="Times New Roman" w:cs="Times New Roman"/>
          <w:b/>
          <w:bCs/>
          <w:kern w:val="0"/>
          <w14:ligatures w14:val="none"/>
        </w:rPr>
        <w:t>:</w:t>
      </w:r>
      <w:r w:rsidRPr="00967D96">
        <w:rPr>
          <w:rFonts w:eastAsia="Times New Roman" w:cs="Times New Roman"/>
          <w:kern w:val="0"/>
          <w14:ligatures w14:val="none"/>
        </w:rPr>
        <w:t xml:space="preserve"> Critical information, such as additional baggage fees, was displayed in pop-ups that disappeared without user confirmation, making it difficult for users to retain or revisit the details.</w:t>
      </w:r>
    </w:p>
    <w:p w14:paraId="030941E5"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Placement of Pop-Ups</w:t>
      </w:r>
      <w:r w:rsidRPr="00967D96">
        <w:rPr>
          <w:rFonts w:eastAsia="Times New Roman" w:cs="Times New Roman"/>
          <w:b/>
          <w:bCs/>
          <w:kern w:val="0"/>
          <w14:ligatures w14:val="none"/>
        </w:rPr>
        <w:t>:</w:t>
      </w:r>
      <w:r w:rsidRPr="00967D96">
        <w:rPr>
          <w:rFonts w:eastAsia="Times New Roman" w:cs="Times New Roman"/>
          <w:kern w:val="0"/>
          <w14:ligatures w14:val="none"/>
        </w:rPr>
        <w:t xml:space="preserve"> Pop-ups were often triggered at inconvenient moments, such as during payment, when users were focused on completing their transactions. This placement further reduced the likelihood of users fully understanding the terms.</w:t>
      </w:r>
    </w:p>
    <w:p w14:paraId="1531A3B1" w14:textId="77777777" w:rsidR="00967D96" w:rsidRPr="00967D96" w:rsidRDefault="00967D96" w:rsidP="00F23FA8">
      <w:pPr>
        <w:numPr>
          <w:ilvl w:val="1"/>
          <w:numId w:val="2"/>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Inadequate Explanatory Text</w:t>
      </w:r>
      <w:r w:rsidRPr="00967D96">
        <w:rPr>
          <w:rFonts w:eastAsia="Times New Roman" w:cs="Times New Roman"/>
          <w:b/>
          <w:bCs/>
          <w:kern w:val="0"/>
          <w14:ligatures w14:val="none"/>
        </w:rPr>
        <w:t>:</w:t>
      </w:r>
      <w:r w:rsidRPr="00967D96">
        <w:rPr>
          <w:rFonts w:eastAsia="Times New Roman" w:cs="Times New Roman"/>
          <w:kern w:val="0"/>
          <w14:ligatures w14:val="none"/>
        </w:rPr>
        <w:t xml:space="preserve"> Pop-ups lacked accompanying text or links to detailed explanations, leaving users with incomplete or misleading impressions of the policies.</w:t>
      </w:r>
    </w:p>
    <w:p w14:paraId="2F7F4A1B" w14:textId="77777777" w:rsidR="00967D96" w:rsidRDefault="00967D96" w:rsidP="00F23FA8">
      <w:pPr>
        <w:spacing w:line="276" w:lineRule="auto"/>
        <w:rPr>
          <w:b/>
          <w:bCs/>
          <w:u w:val="single"/>
        </w:rPr>
      </w:pPr>
    </w:p>
    <w:p w14:paraId="2C618B4E" w14:textId="4E0EF950" w:rsidR="00967D96" w:rsidRPr="00967D96" w:rsidRDefault="00967D96" w:rsidP="00F23FA8">
      <w:pPr>
        <w:spacing w:line="276" w:lineRule="auto"/>
        <w:rPr>
          <w:b/>
          <w:bCs/>
          <w:u w:val="single"/>
        </w:rPr>
      </w:pPr>
      <w:r w:rsidRPr="00967D96">
        <w:rPr>
          <w:b/>
          <w:bCs/>
          <w:u w:val="single"/>
        </w:rPr>
        <w:t>Key Points Supporting the Claim</w:t>
      </w:r>
    </w:p>
    <w:p w14:paraId="3529FD30" w14:textId="77777777" w:rsidR="00967D96" w:rsidRPr="00967D96" w:rsidRDefault="00967D96" w:rsidP="00F23FA8">
      <w:pPr>
        <w:numPr>
          <w:ilvl w:val="0"/>
          <w:numId w:val="3"/>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Mandatory Nature of Clear Communication by Law</w:t>
      </w:r>
      <w:r w:rsidRPr="00967D96">
        <w:rPr>
          <w:rFonts w:eastAsia="Times New Roman" w:cs="Times New Roman"/>
          <w:b/>
          <w:bCs/>
          <w:kern w:val="0"/>
          <w14:ligatures w14:val="none"/>
        </w:rPr>
        <w:t>:</w:t>
      </w:r>
    </w:p>
    <w:p w14:paraId="26E2E9B7" w14:textId="77777777" w:rsidR="00967D96" w:rsidRPr="00967D96" w:rsidRDefault="00967D96" w:rsidP="00F23FA8">
      <w:pPr>
        <w:numPr>
          <w:ilvl w:val="1"/>
          <w:numId w:val="3"/>
        </w:numPr>
        <w:spacing w:after="0" w:line="276" w:lineRule="auto"/>
        <w:rPr>
          <w:rFonts w:eastAsia="Times New Roman" w:cs="Times New Roman"/>
          <w:kern w:val="0"/>
          <w14:ligatures w14:val="none"/>
        </w:rPr>
      </w:pPr>
      <w:r w:rsidRPr="00967D96">
        <w:rPr>
          <w:rFonts w:eastAsia="Times New Roman" w:cs="Times New Roman"/>
          <w:kern w:val="0"/>
          <w14:ligatures w14:val="none"/>
        </w:rPr>
        <w:t xml:space="preserve">Under consumer protection laws, businesses are required to present terms and conditions in a clear, accessible, and prominent manner. </w:t>
      </w:r>
      <w:r w:rsidRPr="00967D96">
        <w:rPr>
          <w:rFonts w:eastAsia="Times New Roman" w:cs="Times New Roman"/>
          <w:b/>
          <w:bCs/>
          <w:kern w:val="0"/>
          <w14:ligatures w14:val="none"/>
        </w:rPr>
        <w:t>Trip.com’s</w:t>
      </w:r>
      <w:r w:rsidRPr="00967D96">
        <w:rPr>
          <w:rFonts w:eastAsia="Times New Roman" w:cs="Times New Roman"/>
          <w:kern w:val="0"/>
          <w14:ligatures w14:val="none"/>
        </w:rPr>
        <w:t xml:space="preserve"> reliance on transient pop-ups to communicate critical information violated these legal standards.</w:t>
      </w:r>
    </w:p>
    <w:p w14:paraId="6A2CCBB3" w14:textId="77777777" w:rsidR="00967D96" w:rsidRPr="00967D96" w:rsidRDefault="00967D96" w:rsidP="00F23FA8">
      <w:pPr>
        <w:numPr>
          <w:ilvl w:val="0"/>
          <w:numId w:val="3"/>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Impact on Users</w:t>
      </w:r>
      <w:r w:rsidRPr="00967D96">
        <w:rPr>
          <w:rFonts w:eastAsia="Times New Roman" w:cs="Times New Roman"/>
          <w:b/>
          <w:bCs/>
          <w:kern w:val="0"/>
          <w14:ligatures w14:val="none"/>
        </w:rPr>
        <w:t>:</w:t>
      </w:r>
    </w:p>
    <w:p w14:paraId="538F7109" w14:textId="77777777" w:rsidR="00967D96" w:rsidRPr="00967D96" w:rsidRDefault="00967D96" w:rsidP="00F23FA8">
      <w:pPr>
        <w:numPr>
          <w:ilvl w:val="1"/>
          <w:numId w:val="3"/>
        </w:numPr>
        <w:spacing w:after="0" w:line="276" w:lineRule="auto"/>
        <w:rPr>
          <w:rFonts w:eastAsia="Times New Roman" w:cs="Times New Roman"/>
          <w:kern w:val="0"/>
          <w14:ligatures w14:val="none"/>
        </w:rPr>
      </w:pPr>
      <w:r w:rsidRPr="00967D96">
        <w:rPr>
          <w:rFonts w:eastAsia="Times New Roman" w:cs="Times New Roman"/>
          <w:kern w:val="0"/>
          <w14:ligatures w14:val="none"/>
        </w:rPr>
        <w:t>The platform’s design flaws directly contributed to user confusion, financial losses, and logistical disruptions. For example, users were unaware of additional baggage fees due to the fleeting nature of pop-ups, leading to unexpected charges at the airport.</w:t>
      </w:r>
    </w:p>
    <w:p w14:paraId="40F04C66" w14:textId="77777777" w:rsidR="00967D96" w:rsidRPr="00967D96" w:rsidRDefault="00967D96" w:rsidP="00F23FA8">
      <w:pPr>
        <w:numPr>
          <w:ilvl w:val="0"/>
          <w:numId w:val="3"/>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Evidence of Non-Compliance</w:t>
      </w:r>
      <w:r w:rsidRPr="00967D96">
        <w:rPr>
          <w:rFonts w:eastAsia="Times New Roman" w:cs="Times New Roman"/>
          <w:b/>
          <w:bCs/>
          <w:kern w:val="0"/>
          <w14:ligatures w14:val="none"/>
        </w:rPr>
        <w:t>:</w:t>
      </w:r>
    </w:p>
    <w:p w14:paraId="5DAFAEA2" w14:textId="77777777" w:rsidR="00967D96" w:rsidRPr="00967D96" w:rsidRDefault="00967D96" w:rsidP="00F23FA8">
      <w:pPr>
        <w:numPr>
          <w:ilvl w:val="1"/>
          <w:numId w:val="3"/>
        </w:numPr>
        <w:spacing w:after="0" w:line="276" w:lineRule="auto"/>
        <w:rPr>
          <w:rFonts w:eastAsia="Times New Roman" w:cs="Times New Roman"/>
          <w:kern w:val="0"/>
          <w14:ligatures w14:val="none"/>
        </w:rPr>
      </w:pPr>
      <w:r w:rsidRPr="00967D96">
        <w:rPr>
          <w:rFonts w:eastAsia="Times New Roman" w:cs="Times New Roman"/>
          <w:kern w:val="0"/>
          <w14:ligatures w14:val="none"/>
        </w:rPr>
        <w:t xml:space="preserve">Screenshots and website evaluations (Exhibits 1, 11, and 19) provide clear evidence of the platform’s reliance on pop-ups to inadequately communicate critical information. These findings substantiate the claim that </w:t>
      </w:r>
      <w:r w:rsidRPr="00967D96">
        <w:rPr>
          <w:rFonts w:eastAsia="Times New Roman" w:cs="Times New Roman"/>
          <w:b/>
          <w:bCs/>
          <w:kern w:val="0"/>
          <w14:ligatures w14:val="none"/>
        </w:rPr>
        <w:t>Trip.com</w:t>
      </w:r>
      <w:r w:rsidRPr="00967D96">
        <w:rPr>
          <w:rFonts w:eastAsia="Times New Roman" w:cs="Times New Roman"/>
          <w:kern w:val="0"/>
          <w14:ligatures w14:val="none"/>
        </w:rPr>
        <w:t xml:space="preserve"> failed to meet its legal obligations for transparency and clarity.</w:t>
      </w:r>
    </w:p>
    <w:p w14:paraId="37CB64EE" w14:textId="77777777" w:rsidR="00967D96" w:rsidRPr="00967D96" w:rsidRDefault="00967D96" w:rsidP="00F23FA8">
      <w:pPr>
        <w:numPr>
          <w:ilvl w:val="0"/>
          <w:numId w:val="3"/>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Recoverable Damages</w:t>
      </w:r>
      <w:r w:rsidRPr="00967D96">
        <w:rPr>
          <w:rFonts w:eastAsia="Times New Roman" w:cs="Times New Roman"/>
          <w:b/>
          <w:bCs/>
          <w:kern w:val="0"/>
          <w14:ligatures w14:val="none"/>
        </w:rPr>
        <w:t>:</w:t>
      </w:r>
    </w:p>
    <w:p w14:paraId="10EBBD67" w14:textId="77777777" w:rsidR="00967D96" w:rsidRPr="00967D96" w:rsidRDefault="00967D96" w:rsidP="00F23FA8">
      <w:pPr>
        <w:numPr>
          <w:ilvl w:val="1"/>
          <w:numId w:val="3"/>
        </w:numPr>
        <w:spacing w:after="0" w:line="276" w:lineRule="auto"/>
        <w:rPr>
          <w:rFonts w:eastAsia="Times New Roman" w:cs="Times New Roman"/>
          <w:kern w:val="0"/>
          <w14:ligatures w14:val="none"/>
        </w:rPr>
      </w:pPr>
      <w:r w:rsidRPr="00967D96">
        <w:rPr>
          <w:rFonts w:eastAsia="Times New Roman" w:cs="Times New Roman"/>
          <w:kern w:val="0"/>
          <w14:ligatures w14:val="none"/>
        </w:rPr>
        <w:t xml:space="preserve">The financial losses incurred due to the platform’s reliance on pop-ups are recoverable under consumer protection laws. The evidence demonstrates that these losses were a direct result of </w:t>
      </w:r>
      <w:r w:rsidRPr="00967D96">
        <w:rPr>
          <w:rFonts w:eastAsia="Times New Roman" w:cs="Times New Roman"/>
          <w:b/>
          <w:bCs/>
          <w:kern w:val="0"/>
          <w14:ligatures w14:val="none"/>
        </w:rPr>
        <w:t>Trip.com’s</w:t>
      </w:r>
      <w:r w:rsidRPr="00967D96">
        <w:rPr>
          <w:rFonts w:eastAsia="Times New Roman" w:cs="Times New Roman"/>
          <w:kern w:val="0"/>
          <w14:ligatures w14:val="none"/>
        </w:rPr>
        <w:t xml:space="preserve"> failure to provide clear and accessible communication of booking terms.</w:t>
      </w:r>
    </w:p>
    <w:p w14:paraId="698FC2DE" w14:textId="77777777" w:rsidR="00967D96" w:rsidRDefault="00967D96" w:rsidP="00F23FA8">
      <w:pPr>
        <w:spacing w:line="276" w:lineRule="auto"/>
        <w:rPr>
          <w:b/>
          <w:bCs/>
          <w:u w:val="single"/>
        </w:rPr>
      </w:pPr>
    </w:p>
    <w:p w14:paraId="3ECDE213" w14:textId="414AB1B2" w:rsidR="00967D96" w:rsidRPr="00967D96" w:rsidRDefault="00967D96" w:rsidP="00F23FA8">
      <w:pPr>
        <w:spacing w:line="276" w:lineRule="auto"/>
        <w:rPr>
          <w:b/>
          <w:bCs/>
          <w:u w:val="single"/>
        </w:rPr>
      </w:pPr>
      <w:r w:rsidRPr="00967D96">
        <w:rPr>
          <w:b/>
          <w:bCs/>
          <w:u w:val="single"/>
        </w:rPr>
        <w:t>Liability and Justification</w:t>
      </w:r>
    </w:p>
    <w:p w14:paraId="7B66BB94" w14:textId="77777777" w:rsidR="00967D96" w:rsidRPr="00967D96" w:rsidRDefault="00967D96" w:rsidP="00F23FA8">
      <w:pPr>
        <w:numPr>
          <w:ilvl w:val="0"/>
          <w:numId w:val="4"/>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Legal Obligation for Transparency</w:t>
      </w:r>
      <w:r w:rsidRPr="00967D96">
        <w:rPr>
          <w:rFonts w:eastAsia="Times New Roman" w:cs="Times New Roman"/>
          <w:b/>
          <w:bCs/>
          <w:kern w:val="0"/>
          <w14:ligatures w14:val="none"/>
        </w:rPr>
        <w:t>:</w:t>
      </w:r>
      <w:r w:rsidRPr="00967D96">
        <w:rPr>
          <w:rFonts w:eastAsia="Times New Roman" w:cs="Times New Roman"/>
          <w:kern w:val="0"/>
          <w14:ligatures w14:val="none"/>
        </w:rPr>
        <w:t xml:space="preserve"> </w:t>
      </w:r>
      <w:r w:rsidRPr="00967D96">
        <w:rPr>
          <w:rFonts w:eastAsia="Times New Roman" w:cs="Times New Roman"/>
          <w:b/>
          <w:bCs/>
          <w:kern w:val="0"/>
          <w14:ligatures w14:val="none"/>
        </w:rPr>
        <w:t>Trip.com’s</w:t>
      </w:r>
      <w:r w:rsidRPr="00967D96">
        <w:rPr>
          <w:rFonts w:eastAsia="Times New Roman" w:cs="Times New Roman"/>
          <w:kern w:val="0"/>
          <w14:ligatures w14:val="none"/>
        </w:rPr>
        <w:t xml:space="preserve"> reliance on pop-ups to communicate critical information breached consumer protection laws, which mandate that terms and conditions be presented in a clear and accessible manner.</w:t>
      </w:r>
    </w:p>
    <w:p w14:paraId="2F372450" w14:textId="77777777" w:rsidR="00967D96" w:rsidRPr="00967D96" w:rsidRDefault="00967D96" w:rsidP="00F23FA8">
      <w:pPr>
        <w:numPr>
          <w:ilvl w:val="0"/>
          <w:numId w:val="4"/>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Recoverable Costs</w:t>
      </w:r>
      <w:r w:rsidRPr="00967D96">
        <w:rPr>
          <w:rFonts w:eastAsia="Times New Roman" w:cs="Times New Roman"/>
          <w:b/>
          <w:bCs/>
          <w:kern w:val="0"/>
          <w14:ligatures w14:val="none"/>
        </w:rPr>
        <w:t>:</w:t>
      </w:r>
      <w:r w:rsidRPr="00967D96">
        <w:rPr>
          <w:rFonts w:eastAsia="Times New Roman" w:cs="Times New Roman"/>
          <w:kern w:val="0"/>
          <w14:ligatures w14:val="none"/>
        </w:rPr>
        <w:t xml:space="preserve"> The financial losses and disruptions caused by the platform’s design flaws are directly attributable to </w:t>
      </w:r>
      <w:r w:rsidRPr="00967D96">
        <w:rPr>
          <w:rFonts w:eastAsia="Times New Roman" w:cs="Times New Roman"/>
          <w:b/>
          <w:bCs/>
          <w:kern w:val="0"/>
          <w14:ligatures w14:val="none"/>
        </w:rPr>
        <w:t>Trip.com’s</w:t>
      </w:r>
      <w:r w:rsidRPr="00967D96">
        <w:rPr>
          <w:rFonts w:eastAsia="Times New Roman" w:cs="Times New Roman"/>
          <w:kern w:val="0"/>
          <w14:ligatures w14:val="none"/>
        </w:rPr>
        <w:t xml:space="preserve"> failure to meet its legal obligations.</w:t>
      </w:r>
    </w:p>
    <w:p w14:paraId="35C6A907" w14:textId="77777777" w:rsidR="00F23FA8" w:rsidRDefault="00967D96" w:rsidP="00F23FA8">
      <w:pPr>
        <w:numPr>
          <w:ilvl w:val="0"/>
          <w:numId w:val="4"/>
        </w:numPr>
        <w:spacing w:after="0" w:line="276" w:lineRule="auto"/>
        <w:rPr>
          <w:rFonts w:eastAsia="Times New Roman" w:cs="Times New Roman"/>
          <w:kern w:val="0"/>
          <w14:ligatures w14:val="none"/>
        </w:rPr>
      </w:pPr>
      <w:r w:rsidRPr="00967D96">
        <w:rPr>
          <w:rFonts w:eastAsia="Times New Roman" w:cs="Times New Roman"/>
          <w:b/>
          <w:bCs/>
          <w:kern w:val="0"/>
          <w:u w:val="single"/>
          <w14:ligatures w14:val="none"/>
        </w:rPr>
        <w:t>Supporting Evidence</w:t>
      </w:r>
      <w:r w:rsidRPr="00967D96">
        <w:rPr>
          <w:rFonts w:eastAsia="Times New Roman" w:cs="Times New Roman"/>
          <w:b/>
          <w:bCs/>
          <w:kern w:val="0"/>
          <w14:ligatures w14:val="none"/>
        </w:rPr>
        <w:t>:</w:t>
      </w:r>
      <w:r w:rsidRPr="00967D96">
        <w:rPr>
          <w:rFonts w:eastAsia="Times New Roman" w:cs="Times New Roman"/>
          <w:kern w:val="0"/>
          <w14:ligatures w14:val="none"/>
        </w:rPr>
        <w:t xml:space="preserve"> Exhibits O, F, 1, 11, and 19 collectively demonstrate the inadequacy of </w:t>
      </w:r>
      <w:r w:rsidRPr="00967D96">
        <w:rPr>
          <w:rFonts w:eastAsia="Times New Roman" w:cs="Times New Roman"/>
          <w:b/>
          <w:bCs/>
          <w:kern w:val="0"/>
          <w14:ligatures w14:val="none"/>
        </w:rPr>
        <w:t>Trip.com’s</w:t>
      </w:r>
      <w:r w:rsidRPr="00967D96">
        <w:rPr>
          <w:rFonts w:eastAsia="Times New Roman" w:cs="Times New Roman"/>
          <w:kern w:val="0"/>
          <w14:ligatures w14:val="none"/>
        </w:rPr>
        <w:t xml:space="preserve"> communication methods and the resulting impact on users. These findings justify the inclusion of related costs in the compensation claim.</w:t>
      </w:r>
    </w:p>
    <w:p w14:paraId="7B001547" w14:textId="77777777" w:rsidR="00F23FA8" w:rsidRDefault="00F23FA8" w:rsidP="00F23FA8">
      <w:pPr>
        <w:spacing w:after="0" w:line="276" w:lineRule="auto"/>
        <w:ind w:left="360"/>
        <w:rPr>
          <w:rFonts w:eastAsia="Times New Roman" w:cs="Times New Roman"/>
          <w:b/>
          <w:bCs/>
          <w:kern w:val="0"/>
          <w:u w:val="single"/>
          <w14:ligatures w14:val="none"/>
        </w:rPr>
      </w:pPr>
    </w:p>
    <w:p w14:paraId="5F6C8132" w14:textId="214F51C1" w:rsidR="00AB24F8" w:rsidRPr="00F23FA8" w:rsidRDefault="00AB24F8" w:rsidP="00F23FA8">
      <w:pPr>
        <w:spacing w:after="0" w:line="276" w:lineRule="auto"/>
        <w:ind w:left="360"/>
        <w:rPr>
          <w:rFonts w:eastAsia="Times New Roman" w:cs="Times New Roman"/>
          <w:kern w:val="0"/>
          <w14:ligatures w14:val="none"/>
        </w:rPr>
      </w:pPr>
      <w:r w:rsidRPr="00F23FA8">
        <w:rPr>
          <w:rFonts w:eastAsia="Times New Roman" w:cs="Times New Roman"/>
          <w:kern w:val="0"/>
          <w14:ligatures w14:val="none"/>
        </w:rPr>
        <w:t xml:space="preserve">This structured summary ties the </w:t>
      </w:r>
      <w:r w:rsidR="00472803" w:rsidRPr="00F23FA8">
        <w:rPr>
          <w:rFonts w:eastAsia="Times New Roman" w:cs="Times New Roman"/>
          <w:kern w:val="0"/>
          <w:u w:val="single"/>
          <w14:ligatures w14:val="none"/>
        </w:rPr>
        <w:t>“</w:t>
      </w:r>
      <w:r w:rsidRPr="00F23FA8">
        <w:rPr>
          <w:rFonts w:eastAsia="Times New Roman" w:cs="Times New Roman"/>
          <w:b/>
          <w:bCs/>
          <w:kern w:val="0"/>
          <w:u w:val="single"/>
          <w14:ligatures w14:val="none"/>
        </w:rPr>
        <w:t>Pop-Up Policy Communication</w:t>
      </w:r>
      <w:r w:rsidR="00472803" w:rsidRPr="00F23FA8">
        <w:rPr>
          <w:rFonts w:eastAsia="Times New Roman" w:cs="Times New Roman"/>
          <w:b/>
          <w:bCs/>
          <w:kern w:val="0"/>
          <w:u w:val="single"/>
          <w14:ligatures w14:val="none"/>
        </w:rPr>
        <w:t>”</w:t>
      </w:r>
      <w:r w:rsidRPr="00F23FA8">
        <w:rPr>
          <w:rFonts w:eastAsia="Times New Roman" w:cs="Times New Roman"/>
          <w:kern w:val="0"/>
          <w:u w:val="single"/>
          <w14:ligatures w14:val="none"/>
        </w:rPr>
        <w:t xml:space="preserve"> </w:t>
      </w:r>
      <w:r w:rsidRPr="00F23FA8">
        <w:rPr>
          <w:rFonts w:eastAsia="Times New Roman" w:cs="Times New Roman"/>
          <w:kern w:val="0"/>
          <w14:ligatures w14:val="none"/>
        </w:rPr>
        <w:t xml:space="preserve">claim to specific exhibits and document sections, offering strong evidence to support your case. </w:t>
      </w:r>
    </w:p>
    <w:p w14:paraId="74DEA130" w14:textId="77777777" w:rsidR="00AB24F8" w:rsidRDefault="00AB24F8" w:rsidP="00F23FA8">
      <w:pPr>
        <w:spacing w:line="276" w:lineRule="auto"/>
      </w:pPr>
    </w:p>
    <w:sectPr w:rsidR="00AB2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61FC"/>
    <w:multiLevelType w:val="multilevel"/>
    <w:tmpl w:val="1764DC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C6578"/>
    <w:multiLevelType w:val="multilevel"/>
    <w:tmpl w:val="026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C2854"/>
    <w:multiLevelType w:val="multilevel"/>
    <w:tmpl w:val="BFB8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46877"/>
    <w:multiLevelType w:val="multilevel"/>
    <w:tmpl w:val="C7C691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783265">
    <w:abstractNumId w:val="1"/>
  </w:num>
  <w:num w:numId="2" w16cid:durableId="1850294009">
    <w:abstractNumId w:val="3"/>
  </w:num>
  <w:num w:numId="3" w16cid:durableId="1292594838">
    <w:abstractNumId w:val="0"/>
  </w:num>
  <w:num w:numId="4" w16cid:durableId="86397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F8"/>
    <w:rsid w:val="0018444A"/>
    <w:rsid w:val="00472803"/>
    <w:rsid w:val="00510E8A"/>
    <w:rsid w:val="00967D96"/>
    <w:rsid w:val="00AB24F8"/>
    <w:rsid w:val="00AD5231"/>
    <w:rsid w:val="00F2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E80E"/>
  <w15:chartTrackingRefBased/>
  <w15:docId w15:val="{A15FDFFA-0D97-41B8-AEDD-1D483140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03"/>
    <w:rPr>
      <w:rFonts w:ascii="Times New Roman" w:hAnsi="Times New Roman"/>
    </w:rPr>
  </w:style>
  <w:style w:type="paragraph" w:styleId="Heading1">
    <w:name w:val="heading 1"/>
    <w:basedOn w:val="Normal"/>
    <w:next w:val="Normal"/>
    <w:link w:val="Heading1Char"/>
    <w:uiPriority w:val="9"/>
    <w:qFormat/>
    <w:rsid w:val="00AB2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4F8"/>
    <w:rPr>
      <w:rFonts w:eastAsiaTheme="majorEastAsia" w:cstheme="majorBidi"/>
      <w:color w:val="272727" w:themeColor="text1" w:themeTint="D8"/>
    </w:rPr>
  </w:style>
  <w:style w:type="paragraph" w:styleId="Title">
    <w:name w:val="Title"/>
    <w:basedOn w:val="Normal"/>
    <w:next w:val="Normal"/>
    <w:link w:val="TitleChar"/>
    <w:uiPriority w:val="10"/>
    <w:qFormat/>
    <w:rsid w:val="00AB2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4F8"/>
    <w:pPr>
      <w:spacing w:before="160"/>
      <w:jc w:val="center"/>
    </w:pPr>
    <w:rPr>
      <w:i/>
      <w:iCs/>
      <w:color w:val="404040" w:themeColor="text1" w:themeTint="BF"/>
    </w:rPr>
  </w:style>
  <w:style w:type="character" w:customStyle="1" w:styleId="QuoteChar">
    <w:name w:val="Quote Char"/>
    <w:basedOn w:val="DefaultParagraphFont"/>
    <w:link w:val="Quote"/>
    <w:uiPriority w:val="29"/>
    <w:rsid w:val="00AB24F8"/>
    <w:rPr>
      <w:i/>
      <w:iCs/>
      <w:color w:val="404040" w:themeColor="text1" w:themeTint="BF"/>
    </w:rPr>
  </w:style>
  <w:style w:type="paragraph" w:styleId="ListParagraph">
    <w:name w:val="List Paragraph"/>
    <w:basedOn w:val="Normal"/>
    <w:uiPriority w:val="34"/>
    <w:qFormat/>
    <w:rsid w:val="00AB24F8"/>
    <w:pPr>
      <w:ind w:left="720"/>
      <w:contextualSpacing/>
    </w:pPr>
  </w:style>
  <w:style w:type="character" w:styleId="IntenseEmphasis">
    <w:name w:val="Intense Emphasis"/>
    <w:basedOn w:val="DefaultParagraphFont"/>
    <w:uiPriority w:val="21"/>
    <w:qFormat/>
    <w:rsid w:val="00AB24F8"/>
    <w:rPr>
      <w:i/>
      <w:iCs/>
      <w:color w:val="0F4761" w:themeColor="accent1" w:themeShade="BF"/>
    </w:rPr>
  </w:style>
  <w:style w:type="paragraph" w:styleId="IntenseQuote">
    <w:name w:val="Intense Quote"/>
    <w:basedOn w:val="Normal"/>
    <w:next w:val="Normal"/>
    <w:link w:val="IntenseQuoteChar"/>
    <w:uiPriority w:val="30"/>
    <w:qFormat/>
    <w:rsid w:val="00AB2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4F8"/>
    <w:rPr>
      <w:i/>
      <w:iCs/>
      <w:color w:val="0F4761" w:themeColor="accent1" w:themeShade="BF"/>
    </w:rPr>
  </w:style>
  <w:style w:type="character" w:styleId="IntenseReference">
    <w:name w:val="Intense Reference"/>
    <w:basedOn w:val="DefaultParagraphFont"/>
    <w:uiPriority w:val="32"/>
    <w:qFormat/>
    <w:rsid w:val="00AB2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649905">
      <w:bodyDiv w:val="1"/>
      <w:marLeft w:val="0"/>
      <w:marRight w:val="0"/>
      <w:marTop w:val="0"/>
      <w:marBottom w:val="0"/>
      <w:divBdr>
        <w:top w:val="none" w:sz="0" w:space="0" w:color="auto"/>
        <w:left w:val="none" w:sz="0" w:space="0" w:color="auto"/>
        <w:bottom w:val="none" w:sz="0" w:space="0" w:color="auto"/>
        <w:right w:val="none" w:sz="0" w:space="0" w:color="auto"/>
      </w:divBdr>
      <w:divsChild>
        <w:div w:id="2018536204">
          <w:marLeft w:val="0"/>
          <w:marRight w:val="0"/>
          <w:marTop w:val="0"/>
          <w:marBottom w:val="0"/>
          <w:divBdr>
            <w:top w:val="none" w:sz="0" w:space="0" w:color="auto"/>
            <w:left w:val="none" w:sz="0" w:space="0" w:color="auto"/>
            <w:bottom w:val="none" w:sz="0" w:space="0" w:color="auto"/>
            <w:right w:val="none" w:sz="0" w:space="0" w:color="auto"/>
          </w:divBdr>
          <w:divsChild>
            <w:div w:id="964430501">
              <w:marLeft w:val="0"/>
              <w:marRight w:val="0"/>
              <w:marTop w:val="0"/>
              <w:marBottom w:val="0"/>
              <w:divBdr>
                <w:top w:val="none" w:sz="0" w:space="0" w:color="auto"/>
                <w:left w:val="none" w:sz="0" w:space="0" w:color="auto"/>
                <w:bottom w:val="none" w:sz="0" w:space="0" w:color="auto"/>
                <w:right w:val="none" w:sz="0" w:space="0" w:color="auto"/>
              </w:divBdr>
            </w:div>
          </w:divsChild>
        </w:div>
        <w:div w:id="2000839497">
          <w:marLeft w:val="0"/>
          <w:marRight w:val="0"/>
          <w:marTop w:val="0"/>
          <w:marBottom w:val="0"/>
          <w:divBdr>
            <w:top w:val="none" w:sz="0" w:space="0" w:color="auto"/>
            <w:left w:val="none" w:sz="0" w:space="0" w:color="auto"/>
            <w:bottom w:val="none" w:sz="0" w:space="0" w:color="auto"/>
            <w:right w:val="none" w:sz="0" w:space="0" w:color="auto"/>
          </w:divBdr>
          <w:divsChild>
            <w:div w:id="831259758">
              <w:marLeft w:val="0"/>
              <w:marRight w:val="0"/>
              <w:marTop w:val="0"/>
              <w:marBottom w:val="0"/>
              <w:divBdr>
                <w:top w:val="none" w:sz="0" w:space="0" w:color="auto"/>
                <w:left w:val="none" w:sz="0" w:space="0" w:color="auto"/>
                <w:bottom w:val="none" w:sz="0" w:space="0" w:color="auto"/>
                <w:right w:val="none" w:sz="0" w:space="0" w:color="auto"/>
              </w:divBdr>
            </w:div>
          </w:divsChild>
        </w:div>
        <w:div w:id="1959951827">
          <w:marLeft w:val="0"/>
          <w:marRight w:val="0"/>
          <w:marTop w:val="0"/>
          <w:marBottom w:val="0"/>
          <w:divBdr>
            <w:top w:val="none" w:sz="0" w:space="0" w:color="auto"/>
            <w:left w:val="none" w:sz="0" w:space="0" w:color="auto"/>
            <w:bottom w:val="none" w:sz="0" w:space="0" w:color="auto"/>
            <w:right w:val="none" w:sz="0" w:space="0" w:color="auto"/>
          </w:divBdr>
          <w:divsChild>
            <w:div w:id="2394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0857">
      <w:bodyDiv w:val="1"/>
      <w:marLeft w:val="0"/>
      <w:marRight w:val="0"/>
      <w:marTop w:val="0"/>
      <w:marBottom w:val="0"/>
      <w:divBdr>
        <w:top w:val="none" w:sz="0" w:space="0" w:color="auto"/>
        <w:left w:val="none" w:sz="0" w:space="0" w:color="auto"/>
        <w:bottom w:val="none" w:sz="0" w:space="0" w:color="auto"/>
        <w:right w:val="none" w:sz="0" w:space="0" w:color="auto"/>
      </w:divBdr>
      <w:divsChild>
        <w:div w:id="1983119371">
          <w:marLeft w:val="0"/>
          <w:marRight w:val="0"/>
          <w:marTop w:val="0"/>
          <w:marBottom w:val="0"/>
          <w:divBdr>
            <w:top w:val="none" w:sz="0" w:space="0" w:color="auto"/>
            <w:left w:val="none" w:sz="0" w:space="0" w:color="auto"/>
            <w:bottom w:val="none" w:sz="0" w:space="0" w:color="auto"/>
            <w:right w:val="none" w:sz="0" w:space="0" w:color="auto"/>
          </w:divBdr>
          <w:divsChild>
            <w:div w:id="520554736">
              <w:marLeft w:val="0"/>
              <w:marRight w:val="0"/>
              <w:marTop w:val="0"/>
              <w:marBottom w:val="0"/>
              <w:divBdr>
                <w:top w:val="none" w:sz="0" w:space="0" w:color="auto"/>
                <w:left w:val="none" w:sz="0" w:space="0" w:color="auto"/>
                <w:bottom w:val="none" w:sz="0" w:space="0" w:color="auto"/>
                <w:right w:val="none" w:sz="0" w:space="0" w:color="auto"/>
              </w:divBdr>
            </w:div>
          </w:divsChild>
        </w:div>
        <w:div w:id="1927693404">
          <w:marLeft w:val="0"/>
          <w:marRight w:val="0"/>
          <w:marTop w:val="0"/>
          <w:marBottom w:val="0"/>
          <w:divBdr>
            <w:top w:val="none" w:sz="0" w:space="0" w:color="auto"/>
            <w:left w:val="none" w:sz="0" w:space="0" w:color="auto"/>
            <w:bottom w:val="none" w:sz="0" w:space="0" w:color="auto"/>
            <w:right w:val="none" w:sz="0" w:space="0" w:color="auto"/>
          </w:divBdr>
          <w:divsChild>
            <w:div w:id="737019971">
              <w:marLeft w:val="0"/>
              <w:marRight w:val="0"/>
              <w:marTop w:val="0"/>
              <w:marBottom w:val="0"/>
              <w:divBdr>
                <w:top w:val="none" w:sz="0" w:space="0" w:color="auto"/>
                <w:left w:val="none" w:sz="0" w:space="0" w:color="auto"/>
                <w:bottom w:val="none" w:sz="0" w:space="0" w:color="auto"/>
                <w:right w:val="none" w:sz="0" w:space="0" w:color="auto"/>
              </w:divBdr>
            </w:div>
          </w:divsChild>
        </w:div>
        <w:div w:id="317467473">
          <w:marLeft w:val="0"/>
          <w:marRight w:val="0"/>
          <w:marTop w:val="0"/>
          <w:marBottom w:val="0"/>
          <w:divBdr>
            <w:top w:val="none" w:sz="0" w:space="0" w:color="auto"/>
            <w:left w:val="none" w:sz="0" w:space="0" w:color="auto"/>
            <w:bottom w:val="none" w:sz="0" w:space="0" w:color="auto"/>
            <w:right w:val="none" w:sz="0" w:space="0" w:color="auto"/>
          </w:divBdr>
          <w:divsChild>
            <w:div w:id="6127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cp:revision>
  <dcterms:created xsi:type="dcterms:W3CDTF">2025-03-18T16:19:00Z</dcterms:created>
  <dcterms:modified xsi:type="dcterms:W3CDTF">2025-03-20T11:19:00Z</dcterms:modified>
</cp:coreProperties>
</file>